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right" w:pos="1985" w:leader="none"/>
        </w:tabs>
        <w:spacing w:lineRule="atLeast" w:line="312" w:before="280" w:after="280"/>
        <w:rPr>
          <w:rFonts w:ascii="Arial" w:hAnsi="Arial" w:cs="Arial"/>
        </w:rPr>
      </w:pPr>
      <w:bookmarkStart w:id="0" w:name="_GoBack"/>
      <w:bookmarkEnd w:id="0"/>
      <w:r>
        <w:rPr>
          <w:rStyle w:val="Strong"/>
          <w:rFonts w:cs="Arial" w:ascii="Arial" w:hAnsi="Arial"/>
        </w:rPr>
        <w:t>Európai szabványok melyek az egyéni védőeszközökre vonatkoznak</w:t>
      </w:r>
      <w:r>
        <w:rPr>
          <w:rFonts w:cs="Arial" w:ascii="Arial" w:hAnsi="Arial"/>
        </w:rPr>
        <w:t xml:space="preserve">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Style w:val="Strong"/>
          <w:rFonts w:cs="Arial" w:ascii="Arial" w:hAnsi="Arial"/>
        </w:rPr>
        <w:t>VÉDŐSZEMÜVEGEK</w:t>
      </w:r>
      <w:r>
        <w:rPr>
          <w:rFonts w:cs="Arial" w:ascii="Arial" w:hAnsi="Arial"/>
        </w:rPr>
        <w:t xml:space="preserve">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Fonts w:cs="Arial" w:ascii="Arial" w:hAnsi="Arial"/>
        </w:rPr>
        <w:t>EN 166</w:t>
        <w:tab/>
        <w:tab/>
        <w:t>Egyéni szem-és arcvédő eszközök általános követelmények</w:t>
        <w:br/>
        <w:t>EN 167</w:t>
        <w:tab/>
        <w:tab/>
        <w:t>Optikai vizsgálati módszerek</w:t>
        <w:br/>
        <w:t>EN 168</w:t>
        <w:tab/>
        <w:tab/>
        <w:t>Nem optikai vizsgálati módszerek</w:t>
        <w:br/>
        <w:t>EN 169</w:t>
        <w:tab/>
        <w:tab/>
        <w:t>Szűrők hegesztéshez</w:t>
        <w:br/>
        <w:t>EN 170</w:t>
        <w:tab/>
        <w:tab/>
        <w:t>Ultraibolya szűrők (UV)</w:t>
        <w:br/>
        <w:t>EN 171</w:t>
        <w:tab/>
        <w:tab/>
        <w:t>Infravörös szűrők (IR)</w:t>
        <w:br/>
        <w:t>EN 172</w:t>
        <w:tab/>
        <w:tab/>
        <w:t>Napfényszűrők</w:t>
        <w:br/>
        <w:t>EN 175</w:t>
        <w:tab/>
        <w:tab/>
        <w:t>Szem és arcvédők hegesztéses munkákhoz</w:t>
        <w:br/>
        <w:t>EN 207</w:t>
        <w:tab/>
        <w:tab/>
        <w:t>Lézersugárzás elleni szűrő</w:t>
        <w:br/>
        <w:t>EN 208</w:t>
        <w:tab/>
        <w:tab/>
        <w:t>Lézer berendezések elleni szűrők</w:t>
        <w:br/>
        <w:t>EN 379</w:t>
        <w:tab/>
        <w:tab/>
        <w:t>Aktív hegesztéses szűrők</w:t>
        <w:br/>
        <w:t>EN 1836</w:t>
        <w:tab/>
        <w:tab/>
        <w:t xml:space="preserve">Napszemüvegek és napfényszűrők általános alkalmazása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Style w:val="Strong"/>
          <w:rFonts w:cs="Arial" w:ascii="Arial" w:hAnsi="Arial"/>
        </w:rPr>
        <w:t>FEJ-ÉS ARCVÉDŐK</w:t>
      </w:r>
      <w:r>
        <w:rPr>
          <w:rFonts w:cs="Arial" w:ascii="Arial" w:hAnsi="Arial"/>
        </w:rPr>
        <w:t xml:space="preserve">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Fonts w:cs="Arial" w:ascii="Arial" w:hAnsi="Arial"/>
        </w:rPr>
        <w:t>EN 397</w:t>
        <w:tab/>
        <w:tab/>
        <w:t>Ipari védősisakok</w:t>
        <w:br/>
        <w:t>EN 443</w:t>
        <w:tab/>
        <w:tab/>
        <w:t>Védősisakok tűzoltáshoz</w:t>
        <w:br/>
        <w:t>EN 812</w:t>
        <w:tab/>
        <w:tab/>
        <w:t>Beütődés elleni védősisakok ipari célra</w:t>
        <w:br/>
        <w:t>EN 1731</w:t>
        <w:tab/>
        <w:tab/>
        <w:t>Hálós szem- és arcvédők</w:t>
        <w:br/>
        <w:t>EN 14052</w:t>
        <w:tab/>
        <w:tab/>
        <w:t>Nagy védőképességű ipari védősisakok</w:t>
        <w:br/>
        <w:t>EN 12941</w:t>
        <w:tab/>
        <w:tab/>
        <w:t>Légzésvédő készülékek kámzsával vagy sisakkal</w:t>
        <w:br/>
        <w:t>EN 12492</w:t>
        <w:tab/>
        <w:tab/>
        <w:t>Hegymászósisakok</w:t>
        <w:br/>
        <w:t>EN 14458</w:t>
        <w:tab/>
        <w:tab/>
        <w:t>Sisakkal használt szem-és arcvédők vészhelyzeti szolgáltatások számára</w:t>
        <w:br/>
        <w:t>EN 50365</w:t>
        <w:tab/>
        <w:tab/>
        <w:t xml:space="preserve">Villamosan szigetelő védősisak kisfeszültségű használatra (1000 V) </w:t>
      </w:r>
    </w:p>
    <w:p>
      <w:pPr>
        <w:pStyle w:val="NormalWeb"/>
        <w:tabs>
          <w:tab w:val="right" w:pos="1985" w:leader="none"/>
        </w:tabs>
        <w:spacing w:lineRule="atLeast" w:line="312"/>
        <w:rPr/>
      </w:pPr>
      <w:r>
        <w:rPr>
          <w:rStyle w:val="Strong"/>
          <w:rFonts w:cs="Arial" w:ascii="Arial" w:hAnsi="Arial"/>
        </w:rPr>
        <w:t>HALL</w:t>
      </w:r>
      <w:r>
        <w:rPr>
          <w:rStyle w:val="Strong"/>
          <w:rFonts w:cs="Arial" w:ascii="Arial" w:hAnsi="Arial"/>
        </w:rPr>
        <w:t>Á</w:t>
      </w:r>
      <w:r>
        <w:rPr>
          <w:rStyle w:val="Strong"/>
          <w:rFonts w:cs="Arial" w:ascii="Arial" w:hAnsi="Arial"/>
        </w:rPr>
        <w:t>SVÉDŐK</w:t>
      </w:r>
      <w:r>
        <w:rPr>
          <w:rFonts w:cs="Arial" w:ascii="Arial" w:hAnsi="Arial"/>
        </w:rPr>
        <w:t xml:space="preserve">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Fonts w:cs="Arial" w:ascii="Arial" w:hAnsi="Arial"/>
        </w:rPr>
        <w:t>EN 352-1</w:t>
        <w:tab/>
        <w:tab/>
        <w:t>Fültokok</w:t>
        <w:br/>
        <w:t>EN 352-2</w:t>
        <w:tab/>
        <w:tab/>
        <w:t>Füldugók</w:t>
        <w:br/>
        <w:t>EN 352-3</w:t>
        <w:tab/>
        <w:tab/>
        <w:t>Ipari védősisakra szerelt fültok</w:t>
        <w:br/>
        <w:t>EN 352-4</w:t>
        <w:tab/>
        <w:tab/>
        <w:t>Zajszinttől függő fültokok</w:t>
        <w:br/>
        <w:t>EN 352-5</w:t>
        <w:tab/>
        <w:tab/>
        <w:t>Aktív zajcsökkentésű fültokok</w:t>
        <w:br/>
        <w:t>EN 352-6</w:t>
        <w:tab/>
        <w:tab/>
        <w:t>Fültokok villamos hangbemenettel</w:t>
        <w:br/>
        <w:t>EN 352-7</w:t>
        <w:tab/>
        <w:tab/>
        <w:t>Szintfüggő csillapítású füldugó</w:t>
        <w:br/>
        <w:t>EN 352-8</w:t>
        <w:tab/>
        <w:tab/>
        <w:t xml:space="preserve">Audiofültokok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Style w:val="Strong"/>
          <w:rFonts w:cs="Arial" w:ascii="Arial" w:hAnsi="Arial"/>
        </w:rPr>
        <w:t>LÉGZÉSVÉDŐK</w:t>
      </w:r>
      <w:r>
        <w:rPr>
          <w:rFonts w:cs="Arial" w:ascii="Arial" w:hAnsi="Arial"/>
        </w:rPr>
        <w:t xml:space="preserve">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Fonts w:cs="Arial" w:ascii="Arial" w:hAnsi="Arial"/>
        </w:rPr>
        <w:t>EN 136</w:t>
        <w:tab/>
        <w:tab/>
        <w:t>Egész álarcok</w:t>
        <w:br/>
        <w:t>EN 137</w:t>
        <w:tab/>
        <w:tab/>
        <w:t>Nyitott rendszerű nyomólevegős, túlnyomásos készülékek teljes álarccal (EN14435: félálarccal)</w:t>
        <w:br/>
        <w:t>EN 138</w:t>
        <w:tab/>
        <w:tab/>
        <w:t>Friss levegős készülékek csutora vagy teljes- és félálarc készlettel</w:t>
        <w:br/>
        <w:t>EN 140</w:t>
        <w:tab/>
        <w:tab/>
        <w:t>Fél- és negyedálarcok</w:t>
        <w:br/>
        <w:t>EN 141</w:t>
        <w:tab/>
        <w:tab/>
        <w:t>Gáz- és kombinációs szűrők (EN 14387)</w:t>
        <w:br/>
        <w:t>EN 143</w:t>
        <w:tab/>
        <w:tab/>
        <w:t>Részecskeszűrők</w:t>
        <w:br/>
        <w:t>EN 145</w:t>
        <w:tab/>
        <w:tab/>
        <w:t>Zárt rendszerű, sűrített oxigénes (- nitrogénes) készülékek</w:t>
        <w:br/>
        <w:t>EN 149</w:t>
        <w:tab/>
        <w:tab/>
        <w:t>Részecskék elleni, szűrőanyaggal ellátott félálarcok</w:t>
        <w:br/>
        <w:t>EN 404</w:t>
        <w:tab/>
        <w:tab/>
        <w:t>Szűrős önmentő készülékek szén-monoxid ellen</w:t>
        <w:br/>
        <w:t>EN 405</w:t>
        <w:tab/>
        <w:tab/>
        <w:t xml:space="preserve">Gázok, vagy gázok és részecskék elleni kilégzőszeleppel ellátott, szűrőanyagból készült félálarcok </w:t>
        <w:br/>
        <w:t>EN 1146</w:t>
        <w:tab/>
        <w:tab/>
        <w:t>Hordozható, nyitott rendszerű, nyomólevegős, beépített kámzsás menekülő készülék</w:t>
        <w:br/>
        <w:t>EN 12941</w:t>
        <w:tab/>
        <w:tab/>
        <w:t>Szűrt levegős, rásegítéses készülékek kámzsával vagy sisakkal</w:t>
        <w:br/>
        <w:t>EN 12942</w:t>
        <w:tab/>
        <w:tab/>
        <w:t>Rásegítéses, szűrt levegős készülékek teljes-, fél- vagy negyedálarccal</w:t>
        <w:br/>
        <w:t>EN 14387</w:t>
        <w:tab/>
        <w:tab/>
        <w:t>Gázszűrők és kombinált szűrők</w:t>
        <w:br/>
        <w:t>EN 14683</w:t>
        <w:tab/>
        <w:tab/>
        <w:t xml:space="preserve">Sebészeti maszkok </w:t>
      </w:r>
    </w:p>
    <w:p>
      <w:pPr>
        <w:pStyle w:val="NormalWeb"/>
        <w:tabs>
          <w:tab w:val="right" w:pos="1985" w:leader="none"/>
        </w:tabs>
        <w:spacing w:lineRule="atLeast" w:line="312"/>
        <w:rPr>
          <w:rStyle w:val="Strong"/>
          <w:rFonts w:ascii="Arial" w:hAnsi="Arial" w:cs="Arial"/>
        </w:rPr>
      </w:pPr>
      <w:r>
        <w:rPr/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Style w:val="Strong"/>
          <w:rFonts w:cs="Arial" w:ascii="Arial" w:hAnsi="Arial"/>
        </w:rPr>
        <w:t>VÉDŐKESZTYŰK</w:t>
      </w:r>
      <w:r>
        <w:rPr>
          <w:rFonts w:cs="Arial" w:ascii="Arial" w:hAnsi="Arial"/>
        </w:rPr>
        <w:t xml:space="preserve">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Fonts w:cs="Arial" w:ascii="Arial" w:hAnsi="Arial"/>
        </w:rPr>
        <w:t>EN 420</w:t>
        <w:tab/>
        <w:tab/>
        <w:t>Általános követelmények</w:t>
        <w:br/>
        <w:t>EN 374-1</w:t>
        <w:tab/>
        <w:tab/>
        <w:t>Vegyszerek és mikroorganizmusok ellen védő kesztyűk (teljesítménykövetelmények)</w:t>
        <w:br/>
        <w:t>EN 374-2</w:t>
        <w:tab/>
        <w:tab/>
        <w:t>Vegyszerek és mikroorganizmusok ellen védő kesztyűk (behatolási ellenállás)</w:t>
        <w:br/>
        <w:t>EN 374-3</w:t>
        <w:tab/>
        <w:tab/>
        <w:t>Vegyszerek és mikroorganizmusok ellen védő kesztyűk (átbocsátási ellenállás)</w:t>
        <w:br/>
        <w:t>EN 381-7</w:t>
        <w:tab/>
        <w:tab/>
        <w:t>Kézi láncfűrészek ellen védőkesztyű</w:t>
        <w:br/>
        <w:t>EN 388</w:t>
        <w:tab/>
        <w:tab/>
        <w:t>Mechanikai ártalmak ellen védő kesztyűk</w:t>
        <w:br/>
        <w:t>EN 407</w:t>
        <w:tab/>
        <w:tab/>
        <w:t>Hőártalom ellen védő kesztyűk</w:t>
        <w:br/>
        <w:t>EN 421</w:t>
        <w:tab/>
        <w:tab/>
        <w:t>Ionizációs sugárzás ellen védő kesztyűk</w:t>
        <w:br/>
        <w:t>EN 455</w:t>
        <w:tab/>
        <w:tab/>
        <w:t>Orvosi, egyszer használatos kesztyűk</w:t>
        <w:br/>
        <w:t>EN 511</w:t>
        <w:tab/>
        <w:tab/>
        <w:t>Hideg ellen védő kesztyűk</w:t>
        <w:br/>
        <w:t>EN 659</w:t>
        <w:tab/>
        <w:tab/>
        <w:t>Védőkesztyűk tűzoltók részére</w:t>
        <w:br/>
        <w:t>EN 1082</w:t>
        <w:tab/>
        <w:tab/>
        <w:t>Kézi kések vágása, szúrása elleni kesztyűk</w:t>
        <w:br/>
        <w:t>EN ISO 10819</w:t>
        <w:tab/>
        <w:tab/>
        <w:t>Antivibrációs védőkesztyűk</w:t>
        <w:br/>
        <w:t>EN 12477</w:t>
        <w:tab/>
        <w:tab/>
        <w:t>Hegesztő védőkesztyűk</w:t>
        <w:br/>
        <w:t>EN 60903</w:t>
        <w:tab/>
        <w:tab/>
        <w:t xml:space="preserve">Villamos feszültség ellen védő kesztyűk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Style w:val="Strong"/>
          <w:rFonts w:cs="Arial" w:ascii="Arial" w:hAnsi="Arial"/>
        </w:rPr>
        <w:t>VÉDŐLÁBBELIK</w:t>
      </w:r>
      <w:r>
        <w:rPr>
          <w:rFonts w:cs="Arial" w:ascii="Arial" w:hAnsi="Arial"/>
        </w:rPr>
        <w:t xml:space="preserve">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Fonts w:cs="Arial" w:ascii="Arial" w:hAnsi="Arial"/>
        </w:rPr>
        <w:t>EN ISO 20344</w:t>
        <w:tab/>
        <w:tab/>
        <w:t>Lábbelik általános vizsgálati módszerei</w:t>
        <w:br/>
        <w:t>EN ISO 20345</w:t>
        <w:tab/>
        <w:tab/>
        <w:t>Biztonsági lábbelik</w:t>
        <w:br/>
        <w:t>EN ISO 20346</w:t>
        <w:tab/>
        <w:tab/>
        <w:t>Védőlábbelik</w:t>
        <w:br/>
        <w:t>EN ISO 20347</w:t>
        <w:tab/>
        <w:tab/>
        <w:t>Munkalábbelik</w:t>
        <w:br/>
        <w:t>EN 381-3</w:t>
        <w:tab/>
        <w:tab/>
        <w:t>Védőlábbelik kézi láncfűrészek elleni védelemmel</w:t>
        <w:br/>
        <w:t>EN 13832</w:t>
        <w:tab/>
        <w:tab/>
        <w:t>Védőlábbelik vegyszerek elleni védelemmel</w:t>
        <w:br/>
        <w:t>EN 50321</w:t>
        <w:tab/>
        <w:tab/>
        <w:t>Védőlábbelik villamosan szigetelő</w:t>
        <w:br/>
        <w:t>EN 13287</w:t>
        <w:tab/>
        <w:tab/>
        <w:t>Csúszás elleni vizsgálatok</w:t>
        <w:br/>
        <w:t>EN 15090</w:t>
        <w:tab/>
        <w:tab/>
        <w:t xml:space="preserve">Tűzoltó lábbelik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Style w:val="Strong"/>
          <w:rFonts w:cs="Arial" w:ascii="Arial" w:hAnsi="Arial"/>
        </w:rPr>
        <w:t>VÉDŐRUHÁZATOK</w:t>
      </w:r>
      <w:r>
        <w:rPr>
          <w:rFonts w:cs="Arial" w:ascii="Arial" w:hAnsi="Arial"/>
        </w:rPr>
        <w:t xml:space="preserve">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Fonts w:cs="Arial" w:ascii="Arial" w:hAnsi="Arial"/>
        </w:rPr>
        <w:t>EN 340</w:t>
        <w:tab/>
        <w:tab/>
        <w:t>Általános követelmények</w:t>
        <w:br/>
        <w:t>EN 342</w:t>
        <w:tab/>
        <w:tab/>
        <w:t>Védőruházat (hideg elleni védelemre)</w:t>
        <w:br/>
        <w:t>EN 343</w:t>
        <w:tab/>
        <w:tab/>
        <w:t>Védelem eső ellen</w:t>
        <w:br/>
        <w:t>EN 381</w:t>
        <w:tab/>
        <w:tab/>
        <w:t>Védőruházat tűzoltóknak</w:t>
        <w:br/>
        <w:t>EN 381-5</w:t>
        <w:tab/>
        <w:tab/>
        <w:t>Védőházat kézi láncfűrész használói számára</w:t>
        <w:br/>
        <w:t>EN 470-1</w:t>
        <w:tab/>
        <w:tab/>
        <w:t>Hegesztéshez és hasonló műveletekhez használt védőruházat</w:t>
        <w:br/>
        <w:t>EN 471</w:t>
        <w:tab/>
        <w:tab/>
        <w:t>Jól láthatóságot biztosító védőruha</w:t>
        <w:br/>
        <w:t>EN 1073</w:t>
        <w:tab/>
        <w:tab/>
        <w:t>Szemcsés radioaktív szennyeződés elleni védelem</w:t>
        <w:br/>
        <w:t>EN 1149-1</w:t>
        <w:tab/>
        <w:tab/>
        <w:t>Elektrosztatikus tulajdonságok (fajlagos felületi ellenállás)</w:t>
        <w:br/>
        <w:t>EN 1149-2</w:t>
        <w:tab/>
        <w:tab/>
        <w:t>Elektrosztatikus tulajdonságok (anyagon keresztüli ellenállás)</w:t>
        <w:br/>
        <w:t>EN 14058</w:t>
        <w:tab/>
        <w:tab/>
        <w:t>Ruhaegyüttesek hideg környezet elleni védelemmel</w:t>
        <w:br/>
        <w:t>EN 14126</w:t>
        <w:tab/>
        <w:tab/>
        <w:t>Védőruházat fertőző anyagok elleni védelemmel</w:t>
        <w:br/>
        <w:t>EN ISO 11611</w:t>
        <w:tab/>
        <w:tab/>
        <w:t>Védőruházat hegesztési ártalmak elleni védelemmel</w:t>
        <w:br/>
        <w:t>EN ISO 11612</w:t>
        <w:tab/>
        <w:tab/>
        <w:t>Védő ruházatok hő és láng elleni védelemmel</w:t>
        <w:br/>
        <w:t>EN ISO 13998</w:t>
        <w:tab/>
        <w:tab/>
        <w:t>Kézi kések vágása, szúrása elleni kötények, nadrágok</w:t>
        <w:br/>
        <w:t>EN ISO 6530</w:t>
        <w:tab/>
        <w:tab/>
        <w:t>Folyékony vegyszerek behatolásával szembeni ellenállás</w:t>
        <w:br/>
        <w:t>EN ISO 6529</w:t>
        <w:tab/>
        <w:tab/>
        <w:t>Folyékony vegyszerek átbocsátásával szembeni ellenállás</w:t>
        <w:br/>
        <w:t>EN ISO 13034</w:t>
        <w:tab/>
        <w:tab/>
        <w:t>Védő ruházat fröccsentő vegyszerek elleni korlátozott védelemmel</w:t>
        <w:br/>
        <w:t>EN ISO 13982</w:t>
        <w:tab/>
        <w:tab/>
        <w:t>Védő ruházat lebegő szilárd részecskék ellen az egész testet</w:t>
        <w:br/>
        <w:t>EN 14605</w:t>
        <w:tab/>
        <w:tab/>
        <w:t>Vegyszerek elleni ruházat permetzáró vagy folyadékzáró</w:t>
        <w:br/>
        <w:t>EN 943</w:t>
        <w:tab/>
        <w:tab/>
        <w:t xml:space="preserve">Védő ruházat nem gázzáró vagy gáztömör vegyszerek ellen </w:t>
      </w:r>
    </w:p>
    <w:p>
      <w:pPr>
        <w:pStyle w:val="NormalWeb"/>
        <w:tabs>
          <w:tab w:val="right" w:pos="1985" w:leader="none"/>
        </w:tabs>
        <w:spacing w:lineRule="atLeast" w:line="312"/>
        <w:rPr>
          <w:rStyle w:val="Strong"/>
          <w:rFonts w:ascii="Arial" w:hAnsi="Arial" w:cs="Arial"/>
        </w:rPr>
      </w:pPr>
      <w:r>
        <w:rPr/>
      </w:r>
    </w:p>
    <w:p>
      <w:pPr>
        <w:pStyle w:val="NormalWeb"/>
        <w:tabs>
          <w:tab w:val="right" w:pos="1985" w:leader="none"/>
        </w:tabs>
        <w:spacing w:lineRule="atLeast" w:line="312"/>
        <w:rPr>
          <w:rStyle w:val="Strong"/>
          <w:rFonts w:ascii="Arial" w:hAnsi="Arial" w:cs="Arial"/>
        </w:rPr>
      </w:pPr>
      <w:r>
        <w:rPr/>
      </w:r>
    </w:p>
    <w:p>
      <w:pPr>
        <w:pStyle w:val="NormalWeb"/>
        <w:tabs>
          <w:tab w:val="right" w:pos="1985" w:leader="none"/>
        </w:tabs>
        <w:spacing w:lineRule="atLeast" w:line="312"/>
        <w:rPr>
          <w:rStyle w:val="Strong"/>
          <w:rFonts w:ascii="Arial" w:hAnsi="Arial" w:cs="Arial"/>
        </w:rPr>
      </w:pPr>
      <w:r>
        <w:rPr/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Style w:val="Strong"/>
          <w:rFonts w:cs="Arial" w:ascii="Arial" w:hAnsi="Arial"/>
        </w:rPr>
        <w:t>ZUHANÁSGÁTLÓK</w:t>
      </w:r>
      <w:r>
        <w:rPr>
          <w:rFonts w:cs="Arial" w:ascii="Arial" w:hAnsi="Arial"/>
        </w:rPr>
        <w:t xml:space="preserve"> </w:t>
      </w:r>
    </w:p>
    <w:p>
      <w:pPr>
        <w:pStyle w:val="NormalWeb"/>
        <w:tabs>
          <w:tab w:val="right" w:pos="1985" w:leader="none"/>
        </w:tabs>
        <w:spacing w:lineRule="atLeast" w:line="312"/>
        <w:rPr>
          <w:rFonts w:ascii="Arial" w:hAnsi="Arial" w:cs="Arial"/>
        </w:rPr>
      </w:pPr>
      <w:r>
        <w:rPr>
          <w:rFonts w:cs="Arial" w:ascii="Arial" w:hAnsi="Arial"/>
        </w:rPr>
        <w:t>EN 341</w:t>
        <w:tab/>
        <w:tab/>
        <w:t>Ereszkedőeszközök</w:t>
        <w:br/>
        <w:t>EN 353</w:t>
        <w:tab/>
        <w:tab/>
        <w:t>Vezérelt típusú lezuhanásgátlók merev rögzített vezeték</w:t>
        <w:br/>
        <w:t>EN 353-2</w:t>
        <w:tab/>
        <w:tab/>
        <w:t>Vezérelt típusú lezuhanásgátlók hajlékony rögzített vezeték</w:t>
        <w:br/>
        <w:t>EN 354</w:t>
        <w:tab/>
        <w:tab/>
        <w:t>Rögzítőkötelek</w:t>
        <w:br/>
        <w:t>EN 355</w:t>
        <w:tab/>
        <w:tab/>
        <w:t>Energiaelnyelők</w:t>
        <w:br/>
        <w:t>EN 358</w:t>
        <w:tab/>
        <w:tab/>
        <w:t>Övek a munkahelyzet beállítására, fékezésre és rögzítésre</w:t>
        <w:br/>
        <w:t>EN 360</w:t>
        <w:tab/>
        <w:tab/>
        <w:t>Visszahúzható típusú lezuhanásgátlók</w:t>
        <w:br/>
        <w:t>EN 361</w:t>
        <w:tab/>
        <w:tab/>
        <w:t>Teljes testhevederzet</w:t>
        <w:br/>
        <w:t>EN 362</w:t>
        <w:tab/>
        <w:tab/>
        <w:t>Csatlakozók</w:t>
        <w:br/>
        <w:t>EN 363</w:t>
        <w:tab/>
        <w:tab/>
        <w:t>Lezuhanásgátló rendszerek</w:t>
        <w:br/>
        <w:t>EN 364</w:t>
        <w:tab/>
        <w:tab/>
        <w:t>Vizsgálati módszerek</w:t>
        <w:br/>
        <w:t>EN 365</w:t>
        <w:tab/>
        <w:tab/>
        <w:t>Felülvizsgálat, javítás, jelölés Használat, karbantartás,</w:t>
        <w:br/>
        <w:t>EN 795</w:t>
        <w:tab/>
        <w:tab/>
        <w:t>Kikötőeszközök</w:t>
        <w:br/>
        <w:t>EN 813</w:t>
        <w:tab/>
        <w:tab/>
        <w:t>Beülőhevederzet</w:t>
        <w:br/>
        <w:t>EN 1496</w:t>
        <w:tab/>
        <w:tab/>
        <w:t>Mentő emelőeszköz</w:t>
        <w:br/>
        <w:t>EN 1497</w:t>
        <w:tab/>
        <w:tab/>
        <w:t>Mentőhevederzet</w:t>
        <w:br/>
        <w:t>EN 1498</w:t>
        <w:tab/>
        <w:tab/>
        <w:t xml:space="preserve">Mentőhurkok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84003"/>
    <w:rPr>
      <w:b/>
      <w:bCs/>
    </w:rPr>
  </w:style>
  <w:style w:type="character" w:styleId="LfejChar" w:customStyle="1">
    <w:name w:val="Élőfej Char"/>
    <w:basedOn w:val="DefaultParagraphFont"/>
    <w:link w:val="lfej"/>
    <w:uiPriority w:val="99"/>
    <w:qFormat/>
    <w:rsid w:val="008c3608"/>
    <w:rPr/>
  </w:style>
  <w:style w:type="character" w:styleId="LlbChar" w:customStyle="1">
    <w:name w:val="Élőláb Char"/>
    <w:basedOn w:val="DefaultParagraphFont"/>
    <w:link w:val="llb"/>
    <w:uiPriority w:val="99"/>
    <w:qFormat/>
    <w:rsid w:val="008c3608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840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fej">
    <w:name w:val="Header"/>
    <w:basedOn w:val="Normal"/>
    <w:link w:val="lfejChar"/>
    <w:uiPriority w:val="99"/>
    <w:unhideWhenUsed/>
    <w:rsid w:val="008c360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8c360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5</Pages>
  <Words>672</Words>
  <Characters>4438</Characters>
  <CharactersWithSpaces>5217</CharactersWithSpaces>
  <Paragraphs>17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2018-11-07T13:35:00Z</dcterms:created>
  <dc:creator>Bodor, Máté</dc:creator>
  <dc:description/>
  <dc:language>en-US</dc:language>
  <cp:lastModifiedBy/>
  <dcterms:modified xsi:type="dcterms:W3CDTF">2018-11-19T10:27:17Z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