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eastAsia="Times New Roman" w:cs="Arial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</w:rPr>
        <w:t>Hallásvédelem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hallásvédő eszköznek a megengedett szintre vagy az alá kell csökkentenie a zajhatást úgy, hogy a figyelmeztető hangjelzések még hallhatóak legyenek. A halláskárosodás zajszintje 85 dB, de az új EU-jogszabály szerint a munkáltatónak 80 dB felett biztosítani kell a zajvédő eszközt.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hallásvédő védelmi képességét SNR értékkel adják meg. Pl. ha a mért zajszint 110 dB, 26 dB SNR értékű zajvédő eszközt kell használnunk, ami a zajszintet a biztonságos 84 dB-re csökkenti.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megfelelő hallásvédő eszköz kiválasztásához szükséges: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hangnyomásszint (időbeli változás/térbeli eloszlás szerint),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63-8000 Hz geometriai középfrekvenciájú oktávsávokban mért hangnyomás-szintek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A füldugó</w:t>
      </w:r>
      <w:r>
        <w:rPr>
          <w:rFonts w:eastAsia="Times New Roman" w:cs="Arial"/>
          <w:sz w:val="24"/>
          <w:szCs w:val="24"/>
        </w:rPr>
        <w:br/>
        <w:br/>
        <w:t>- kicsi és könnyű, kitölti a hallójáratot</w:t>
        <w:br/>
        <w:t>- kényelmesen használható más védőeszközzel</w:t>
        <w:br/>
        <w:t>- lágy, nem sértő, higiénikus adagolóval gyors, költségkímélő megoldás</w:t>
        <w:br/>
        <w:t>- illesztése több időt igényel</w:t>
        <w:br/>
        <w:t>- munkatársak által kevésbé látható</w:t>
        <w:br/>
        <w:t>- nehezebb behelyezni és kivenni</w:t>
        <w:br/>
        <w:t>- használhatósági ideje korlátozott</w:t>
        <w:br/>
        <w:t>- súlyra nehezebb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A fültok</w:t>
      </w:r>
      <w:r>
        <w:rPr>
          <w:rFonts w:eastAsia="Times New Roman" w:cs="Arial"/>
          <w:sz w:val="24"/>
          <w:szCs w:val="24"/>
        </w:rPr>
        <w:br/>
        <w:br/>
        <w:t>- egyetlen méret a legtöbb fejnagysághoz jó</w:t>
        <w:br/>
        <w:t>- könnyen látható messziről</w:t>
        <w:br/>
        <w:t>- kisebb a csillapítási szórása</w:t>
        <w:br/>
        <w:t>- kisebb fülfertőzéseknél is használható</w:t>
        <w:br/>
        <w:t>- kényelmetlen más védőeszközzel együtt</w:t>
        <w:br/>
        <w:t>- alkalmasságát munkahelyi körülmények korlátozhatják</w:t>
        <w:br/>
        <w:t>- magasabb árfekvésű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Csak olyan fültokot vegyünk, amin maradandóan fel van tüntetve: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gyártó neve, védjegye vagy más azonosító jele,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modell megnevezése,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meghatározott viselési helyzet esetén az ELÖL, FENT, valamint BAL és JOBB jelzés,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vonatkozó szabvány száma.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hallásvédő eszközöket a fellépő zajszint mértéke szerint három csoportba lehet sorolni: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  <w:lang w:val="de-DE"/>
        </w:rPr>
      </w:pPr>
      <w:r>
        <w:rPr>
          <w:rFonts w:eastAsia="Times New Roman" w:cs="Arial"/>
          <w:b/>
          <w:bCs/>
          <w:sz w:val="24"/>
          <w:szCs w:val="24"/>
          <w:lang w:val="de-DE"/>
        </w:rPr>
        <w:t>1. Csoport:</w:t>
      </w:r>
      <w:r>
        <w:rPr>
          <w:rFonts w:eastAsia="Times New Roman" w:cs="Arial"/>
          <w:sz w:val="24"/>
          <w:szCs w:val="24"/>
          <w:lang w:val="de-DE"/>
        </w:rPr>
        <w:t xml:space="preserve"> Tartós zajszint 95 dB-ig - Impulzus zaj 100 dB-ig</w:t>
        <w:br/>
      </w:r>
      <w:r>
        <w:rPr>
          <w:rFonts w:eastAsia="Times New Roman" w:cs="Arial"/>
          <w:b/>
          <w:bCs/>
          <w:sz w:val="24"/>
          <w:szCs w:val="24"/>
          <w:lang w:val="de-DE"/>
        </w:rPr>
        <w:t>2. Csoport:</w:t>
      </w:r>
      <w:r>
        <w:rPr>
          <w:rFonts w:eastAsia="Times New Roman" w:cs="Arial"/>
          <w:sz w:val="24"/>
          <w:szCs w:val="24"/>
          <w:lang w:val="de-DE"/>
        </w:rPr>
        <w:t xml:space="preserve"> Tartós zajszint 108 dB-ig - Impulzus zaj 120 dB-ig</w:t>
        <w:br/>
      </w:r>
      <w:r>
        <w:rPr>
          <w:rFonts w:eastAsia="Times New Roman" w:cs="Arial"/>
          <w:b/>
          <w:bCs/>
          <w:sz w:val="24"/>
          <w:szCs w:val="24"/>
          <w:lang w:val="de-DE"/>
        </w:rPr>
        <w:t>3. Csoport:</w:t>
      </w:r>
      <w:r>
        <w:rPr>
          <w:rFonts w:eastAsia="Times New Roman" w:cs="Arial"/>
          <w:sz w:val="24"/>
          <w:szCs w:val="24"/>
          <w:lang w:val="de-DE"/>
        </w:rPr>
        <w:t xml:space="preserve"> Tartós zajszint 108 dB felett - Impulzus zaj 120 dB felett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  <w:lang w:val="de-DE"/>
        </w:rPr>
      </w:pPr>
      <w:r>
        <w:rPr>
          <w:rFonts w:eastAsia="Times New Roman" w:cs="Arial"/>
          <w:sz w:val="24"/>
          <w:szCs w:val="24"/>
          <w:lang w:val="de-DE"/>
        </w:rPr>
        <w:t>A hallásvédelem egyéni védőeszközökre vonatkozó legfontosabb szabványok: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867"/>
        <w:gridCol w:w="7482"/>
      </w:tblGrid>
      <w:tr>
        <w:trPr/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száma</w:t>
            </w:r>
          </w:p>
        </w:tc>
        <w:tc>
          <w:tcPr>
            <w:tcW w:w="7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megnevezése</w:t>
            </w:r>
          </w:p>
        </w:tc>
      </w:tr>
      <w:tr>
        <w:trPr/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352-1</w:t>
            </w:r>
          </w:p>
        </w:tc>
        <w:tc>
          <w:tcPr>
            <w:tcW w:w="7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Hallásvédők. Általános követelmények. 1. rész: Fültokok</w:t>
            </w:r>
          </w:p>
        </w:tc>
      </w:tr>
      <w:tr>
        <w:trPr/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352-2</w:t>
            </w:r>
          </w:p>
        </w:tc>
        <w:tc>
          <w:tcPr>
            <w:tcW w:w="7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Hallásvédők. Általános követelmények. 2. rész: Füldugók</w:t>
            </w:r>
          </w:p>
        </w:tc>
      </w:tr>
      <w:tr>
        <w:trPr/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352-3</w:t>
            </w:r>
          </w:p>
        </w:tc>
        <w:tc>
          <w:tcPr>
            <w:tcW w:w="7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Hallásvédők. Általános követelmények. 3. rész: Ipari védősisakra szerelt fültokok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Arial"/>
          <w:b/>
          <w:bCs/>
          <w:sz w:val="24"/>
          <w:szCs w:val="24"/>
        </w:rPr>
        <w:t>Az „újrafelhasználható"-ként jelölt füldugók esetében meg kell adni a tisztítási módszert!</w:t>
        <w:br/>
        <w:t>A fültok csillapítási értéke 5-10 dB-t csökkenhet, ha viselője vastag keretes szemüveget visel!</w:t>
        <w:br/>
        <w:t>Az elektronikus fültok a halk hangokat visszaadja, vagy 12 dB-lel felerősíti!</w:t>
        <w:br/>
        <w:t>A rugalmatlanná vált fülpárnát ki kell cserélni!</w:t>
        <w:br/>
        <w:t xml:space="preserve">Ha a fejpánt kinyúlt, az egész fültokot ki kell cserélni! 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761515"/>
    <w:rPr/>
  </w:style>
  <w:style w:type="character" w:styleId="LlbChar" w:customStyle="1">
    <w:name w:val="Élőláb Char"/>
    <w:basedOn w:val="DefaultParagraphFont"/>
    <w:link w:val="llb"/>
    <w:uiPriority w:val="99"/>
    <w:qFormat/>
    <w:rsid w:val="00761515"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76151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76151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356</Words>
  <Characters>2177</Characters>
  <CharactersWithSpaces>2505</CharactersWithSpaces>
  <Paragraphs>25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2018-11-07T14:10:00Z</dcterms:created>
  <dc:creator>Bodor, Máté</dc:creator>
  <dc:description/>
  <dc:language>en-US</dc:language>
  <cp:lastModifiedBy/>
  <dcterms:modified xsi:type="dcterms:W3CDTF">2018-11-19T10:32:49Z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