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Leesés elleni 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talajszint felett (magasban), vagy a talajszint alatt (mélyben) 1 m-nél nagyobb távolság esetén a szintkülönbség és a test kényszerű és szokatlan helyzetéből adódó ártalmak kiküszöbölésére a munkavégzést az alábbi leesés elleni védőeszközök biztosíthatják: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teljes testhevederzetek (elsődleges és másodlagos),</w:t>
        <w:br/>
        <w:t>- munkahelyzet beállító derékövek,</w:t>
        <w:br/>
        <w:t>- mászógépek, mászóvasak,</w:t>
        <w:br/>
        <w:t>- visszahúzható és vezérelt típusú zuhanásgátlók, vagy</w:t>
        <w:br/>
        <w:t>- ezek kombinációi, illetve az ezekhez csatlakozó</w:t>
        <w:br/>
        <w:t>- rögzítő kötelek,</w:t>
        <w:br/>
        <w:t>- lezuhanás gátlók, valamint a mélyben végzett munkáknál használható eszközök.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leesés elleni egyéni védőeszközök az egyéni védőeszközök között is kiemelt jelentőségűek közvetlen életvédelmi funkciójuk miatt. Elengedhetetlen ezért, hogy csak olyan eszközt válasszunk, amin fel van tüntetve: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figyelmeztetés arra vonatkozóan, hogy csak a gyártó vagy a gyártó által felhatalmazott, megfelelő felkészültséggel és szakmai ismeretekkel rendelkező javíthatja az eszközt,</w:t>
        <w:br/>
        <w:t>- a termék gyártási azonosítói, amelyek tartalmazzák azt a gyártási sorozat- vagy sorszámot, amely lehetővé teszi a termék eredetének megállapítását.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munkáltató felelőssége, hogy a leesés elleni egyéni védőeszközöknek a használata csak akkor történjen meg, ha: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minden eszközről és kötélről „Nyilvántartási és ellenőrzési naplót” vezetnek,</w:t>
        <w:br/>
        <w:t>- a szükséges időszakos vizsgálatokat elvégezték és bizonylatolták,</w:t>
        <w:br/>
        <w:t>- a szükséges személyi feltételek adottak mind felkészültség, mind egészségi szempontból,</w:t>
        <w:br/>
        <w:t>- az időszakos gyakorlások megtörténtek,</w:t>
        <w:br/>
        <w:t>- a használatbavételt megelőző szemrevételezéses vizsgálat megtörtént,</w:t>
        <w:br/>
        <w:t>- a körülmények minden tekintetben adottak (időjárás, munkavezetés).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leesés elleni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24"/>
        <w:gridCol w:w="7825"/>
      </w:tblGrid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száma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megnevezése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341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magasból való lezuhanás megelőzésére. Ereszkedő eszközök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354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magasból való lezuhanás megelőzésére. Rögzítő kötelek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355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magasból való lezuhanás megelőzésére. Energiaelnyelők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358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munkahelyzetekhez és magasból való lezuhanás megelőzésére. Övek a munkahelyzet beállítására, fékezésére és rögzítésére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360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magasból való lezuhanás megelőzésére. Visszahúzható típusú lezuhanásgátlók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361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magasból való lezuhanás megelőzésére. Teljes testhevederzet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362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védőeszközök magasból való lezuhanás megelőzésére. Csatlakozók</w:t>
            </w:r>
          </w:p>
        </w:tc>
      </w:tr>
      <w:tr>
        <w:trPr/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795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Magasból való lezuhanás elleni védelem. Kikötő eszközök. Követelmények és vizsgálatok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/>
          <w:sz w:val="24"/>
          <w:szCs w:val="24"/>
        </w:rPr>
        <w:t> </w:t>
      </w:r>
      <w:r>
        <w:rPr>
          <w:rFonts w:eastAsia="Times New Roman" w:cs="Arial"/>
          <w:b/>
          <w:bCs/>
          <w:sz w:val="24"/>
          <w:szCs w:val="24"/>
        </w:rPr>
        <w:t>A horognak és a karabinernek önzáró és ön- vagy kézi rögzítésűnek kell lennie, úgy, hogy csak két egymást követő, szándékos kézi művelettel legyenek kinyithatóak!</w:t>
        <w:br/>
        <w:t>A kézi rögzítésű horgok és karabinerek csak akkor használhatóak, ha azokat nem kell sokszor fel- és lekapcsolni egy munkanapon!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3">
    <w:name w:val="Heading 3"/>
    <w:basedOn w:val="Normal"/>
    <w:link w:val="Cmsor3Char"/>
    <w:uiPriority w:val="9"/>
    <w:qFormat/>
    <w:rsid w:val="007a46c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d76d98"/>
    <w:rPr/>
  </w:style>
  <w:style w:type="character" w:styleId="LlbChar" w:customStyle="1">
    <w:name w:val="Élőláb Char"/>
    <w:basedOn w:val="DefaultParagraphFont"/>
    <w:link w:val="llb"/>
    <w:uiPriority w:val="99"/>
    <w:qFormat/>
    <w:rsid w:val="00d76d98"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7a46cc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a46cc"/>
    <w:rPr>
      <w:b/>
      <w:bCs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d76d9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d76d9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a46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362</Words>
  <Characters>2504</Characters>
  <CharactersWithSpaces>2840</CharactersWithSpaces>
  <Paragraphs>27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2018-11-07T14:31:00Z</dcterms:created>
  <dc:creator>Bodor, Máté</dc:creator>
  <dc:description/>
  <dc:language>en-US</dc:language>
  <cp:lastModifiedBy/>
  <dcterms:modified xsi:type="dcterms:W3CDTF">2018-11-19T10:34:39Z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